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751C" w:rsidRPr="0006751C" w:rsidRDefault="0006751C" w:rsidP="0072476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06751C">
        <w:rPr>
          <w:rFonts w:ascii="Times New Roman" w:hAnsi="Times New Roman" w:cs="Times New Roman"/>
          <w:sz w:val="24"/>
          <w:szCs w:val="24"/>
        </w:rPr>
        <w:t>Лекци</w:t>
      </w:r>
      <w:r w:rsidR="00724766">
        <w:rPr>
          <w:rFonts w:ascii="Times New Roman" w:hAnsi="Times New Roman" w:cs="Times New Roman"/>
          <w:sz w:val="24"/>
          <w:szCs w:val="24"/>
        </w:rPr>
        <w:t>и</w:t>
      </w:r>
      <w:r w:rsidRPr="0006751C">
        <w:rPr>
          <w:rFonts w:ascii="Times New Roman" w:hAnsi="Times New Roman" w:cs="Times New Roman"/>
          <w:sz w:val="24"/>
          <w:szCs w:val="24"/>
        </w:rPr>
        <w:t xml:space="preserve"> №</w:t>
      </w:r>
      <w:r w:rsidR="00724766">
        <w:rPr>
          <w:rFonts w:ascii="Times New Roman" w:hAnsi="Times New Roman" w:cs="Times New Roman"/>
          <w:sz w:val="24"/>
          <w:szCs w:val="24"/>
        </w:rPr>
        <w:t>12-13</w:t>
      </w:r>
      <w:r w:rsidRPr="0006751C">
        <w:rPr>
          <w:rFonts w:ascii="Times New Roman" w:hAnsi="Times New Roman" w:cs="Times New Roman"/>
          <w:sz w:val="24"/>
          <w:szCs w:val="24"/>
        </w:rPr>
        <w:t>. ПОДКРАНОВЫЕ БАЛКИ</w:t>
      </w:r>
    </w:p>
    <w:p w:rsidR="0006751C" w:rsidRPr="0006751C" w:rsidRDefault="0006751C" w:rsidP="0006751C">
      <w:pPr>
        <w:ind w:firstLine="72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6751C">
        <w:rPr>
          <w:rFonts w:ascii="Times New Roman" w:hAnsi="Times New Roman" w:cs="Times New Roman"/>
          <w:b/>
          <w:sz w:val="24"/>
          <w:szCs w:val="24"/>
          <w:u w:val="single"/>
        </w:rPr>
        <w:t>Область применения</w:t>
      </w:r>
    </w:p>
    <w:p w:rsidR="0006751C" w:rsidRPr="0006751C" w:rsidRDefault="0006751C" w:rsidP="0006751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 xml:space="preserve">Железобетонные подкрановые балки применяются при кранах </w:t>
      </w:r>
      <w:r w:rsidRPr="0006751C">
        <w:rPr>
          <w:rFonts w:ascii="Times New Roman" w:hAnsi="Times New Roman" w:cs="Times New Roman"/>
          <w:sz w:val="24"/>
          <w:szCs w:val="24"/>
          <w:u w:val="single"/>
        </w:rPr>
        <w:t>среднего</w:t>
      </w:r>
      <w:r w:rsidRPr="0006751C">
        <w:rPr>
          <w:rFonts w:ascii="Times New Roman" w:hAnsi="Times New Roman" w:cs="Times New Roman"/>
          <w:sz w:val="24"/>
          <w:szCs w:val="24"/>
        </w:rPr>
        <w:t xml:space="preserve"> и </w:t>
      </w:r>
      <w:r w:rsidRPr="0006751C">
        <w:rPr>
          <w:rFonts w:ascii="Times New Roman" w:hAnsi="Times New Roman" w:cs="Times New Roman"/>
          <w:sz w:val="24"/>
          <w:szCs w:val="24"/>
          <w:u w:val="single"/>
        </w:rPr>
        <w:t>легкого</w:t>
      </w:r>
      <w:r w:rsidRPr="0006751C">
        <w:rPr>
          <w:rFonts w:ascii="Times New Roman" w:hAnsi="Times New Roman" w:cs="Times New Roman"/>
          <w:sz w:val="24"/>
          <w:szCs w:val="24"/>
        </w:rPr>
        <w:t xml:space="preserve"> режимов работы, грузоподъемностью </w:t>
      </w:r>
      <w:r w:rsidRPr="0006751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724766">
        <w:rPr>
          <w:rFonts w:ascii="Times New Roman" w:hAnsi="Times New Roman" w:cs="Times New Roman"/>
          <w:sz w:val="24"/>
          <w:szCs w:val="24"/>
        </w:rPr>
        <w:t xml:space="preserve">≤30 </w:t>
      </w:r>
      <w:r w:rsidRPr="0006751C">
        <w:rPr>
          <w:rFonts w:ascii="Times New Roman" w:hAnsi="Times New Roman" w:cs="Times New Roman"/>
          <w:sz w:val="24"/>
          <w:szCs w:val="24"/>
        </w:rPr>
        <w:t>т.</w:t>
      </w:r>
    </w:p>
    <w:p w:rsidR="0006751C" w:rsidRPr="0006751C" w:rsidRDefault="0006751C" w:rsidP="0006751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 xml:space="preserve">При кранах </w:t>
      </w:r>
      <w:r w:rsidRPr="0006751C">
        <w:rPr>
          <w:rFonts w:ascii="Times New Roman" w:hAnsi="Times New Roman" w:cs="Times New Roman"/>
          <w:sz w:val="24"/>
          <w:szCs w:val="24"/>
          <w:u w:val="single"/>
        </w:rPr>
        <w:t>тяжелого</w:t>
      </w:r>
      <w:r w:rsidRPr="0006751C">
        <w:rPr>
          <w:rFonts w:ascii="Times New Roman" w:hAnsi="Times New Roman" w:cs="Times New Roman"/>
          <w:sz w:val="24"/>
          <w:szCs w:val="24"/>
        </w:rPr>
        <w:t xml:space="preserve"> режима работы или грузоподъемности </w:t>
      </w:r>
      <w:r w:rsidRPr="0006751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06751C">
        <w:rPr>
          <w:rFonts w:ascii="Times New Roman" w:hAnsi="Times New Roman" w:cs="Times New Roman"/>
          <w:sz w:val="24"/>
          <w:szCs w:val="24"/>
        </w:rPr>
        <w:t>›30 т, целесообразно применять стальные балки.</w:t>
      </w:r>
    </w:p>
    <w:p w:rsidR="0006751C" w:rsidRPr="0006751C" w:rsidRDefault="0006751C" w:rsidP="0006751C">
      <w:pPr>
        <w:ind w:firstLine="72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6751C">
        <w:rPr>
          <w:rFonts w:ascii="Times New Roman" w:hAnsi="Times New Roman" w:cs="Times New Roman"/>
          <w:b/>
          <w:sz w:val="24"/>
          <w:szCs w:val="24"/>
          <w:u w:val="single"/>
        </w:rPr>
        <w:t>Преимущества железобетонных балок (перед стальными)</w:t>
      </w:r>
    </w:p>
    <w:p w:rsidR="0006751C" w:rsidRPr="0006751C" w:rsidRDefault="0006751C" w:rsidP="0006751C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>Пониженный расход металла;</w:t>
      </w:r>
    </w:p>
    <w:p w:rsidR="0006751C" w:rsidRPr="0006751C" w:rsidRDefault="0006751C" w:rsidP="0006751C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>Повышенная огнестойкость;</w:t>
      </w:r>
    </w:p>
    <w:p w:rsidR="0006751C" w:rsidRPr="0006751C" w:rsidRDefault="0006751C" w:rsidP="0006751C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>Отсутствие эксплуатационных расходов;</w:t>
      </w:r>
    </w:p>
    <w:p w:rsidR="0006751C" w:rsidRPr="0006751C" w:rsidRDefault="0006751C" w:rsidP="0006751C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>Лучшая работа на динамическую нагрузку вследствие большой массы.</w:t>
      </w:r>
    </w:p>
    <w:p w:rsidR="0006751C" w:rsidRPr="0006751C" w:rsidRDefault="0006751C" w:rsidP="0006751C">
      <w:pPr>
        <w:ind w:firstLine="72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6751C">
        <w:rPr>
          <w:rFonts w:ascii="Times New Roman" w:hAnsi="Times New Roman" w:cs="Times New Roman"/>
          <w:b/>
          <w:sz w:val="24"/>
          <w:szCs w:val="24"/>
          <w:u w:val="single"/>
        </w:rPr>
        <w:t>Конструктивное решение</w:t>
      </w:r>
    </w:p>
    <w:p w:rsidR="0006751C" w:rsidRPr="0006751C" w:rsidRDefault="0006751C" w:rsidP="0006751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 xml:space="preserve">В целях упрощения монтажа, железобетонные балки делают </w:t>
      </w:r>
      <w:r w:rsidRPr="0006751C">
        <w:rPr>
          <w:rFonts w:ascii="Times New Roman" w:hAnsi="Times New Roman" w:cs="Times New Roman"/>
          <w:sz w:val="24"/>
          <w:szCs w:val="24"/>
          <w:u w:val="single"/>
        </w:rPr>
        <w:t>разрезными</w:t>
      </w:r>
      <w:r w:rsidRPr="0006751C">
        <w:rPr>
          <w:rFonts w:ascii="Times New Roman" w:hAnsi="Times New Roman" w:cs="Times New Roman"/>
          <w:sz w:val="24"/>
          <w:szCs w:val="24"/>
        </w:rPr>
        <w:t xml:space="preserve"> с монтажным стыком на колоннах. Балки изготавливают с параллельными поясами двутаврового сечения для пролета </w:t>
      </w:r>
      <w:smartTag w:uri="urn:schemas-microsoft-com:office:smarttags" w:element="metricconverter">
        <w:smartTagPr>
          <w:attr w:name="ProductID" w:val="12 м"/>
        </w:smartTagPr>
        <w:r w:rsidRPr="0006751C">
          <w:rPr>
            <w:rFonts w:ascii="Times New Roman" w:hAnsi="Times New Roman" w:cs="Times New Roman"/>
            <w:sz w:val="24"/>
            <w:szCs w:val="24"/>
          </w:rPr>
          <w:t>12 м</w:t>
        </w:r>
      </w:smartTag>
      <w:r w:rsidRPr="0006751C">
        <w:rPr>
          <w:rFonts w:ascii="Times New Roman" w:hAnsi="Times New Roman" w:cs="Times New Roman"/>
          <w:sz w:val="24"/>
          <w:szCs w:val="24"/>
        </w:rPr>
        <w:t xml:space="preserve"> и таврового сечения при пролете </w:t>
      </w:r>
      <w:smartTag w:uri="urn:schemas-microsoft-com:office:smarttags" w:element="metricconverter">
        <w:smartTagPr>
          <w:attr w:name="ProductID" w:val="6 м"/>
        </w:smartTagPr>
        <w:r w:rsidRPr="0006751C">
          <w:rPr>
            <w:rFonts w:ascii="Times New Roman" w:hAnsi="Times New Roman" w:cs="Times New Roman"/>
            <w:sz w:val="24"/>
            <w:szCs w:val="24"/>
          </w:rPr>
          <w:t>6 м</w:t>
        </w:r>
      </w:smartTag>
      <w:r w:rsidRPr="0006751C">
        <w:rPr>
          <w:rFonts w:ascii="Times New Roman" w:hAnsi="Times New Roman" w:cs="Times New Roman"/>
          <w:sz w:val="24"/>
          <w:szCs w:val="24"/>
        </w:rPr>
        <w:t>.</w:t>
      </w:r>
    </w:p>
    <w:p w:rsidR="0006751C" w:rsidRPr="0006751C" w:rsidRDefault="0006751C" w:rsidP="0006751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>Более рациональной формой поперечного сечения подкрановых балок является двутавровая.</w:t>
      </w:r>
    </w:p>
    <w:p w:rsidR="0006751C" w:rsidRPr="0006751C" w:rsidRDefault="0006751C" w:rsidP="0006751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>Развитая верхняя полка обеспечивает:</w:t>
      </w:r>
    </w:p>
    <w:p w:rsidR="0006751C" w:rsidRPr="0006751C" w:rsidRDefault="0006751C" w:rsidP="0006751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>простоту монтажа и эксплуатации крановых путей;</w:t>
      </w:r>
    </w:p>
    <w:p w:rsidR="0006751C" w:rsidRPr="0006751C" w:rsidRDefault="0006751C" w:rsidP="0006751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>жесткость балки в горизонтальном направлении уменьшает перемещения при поперечных тормозных усилиях.</w:t>
      </w:r>
    </w:p>
    <w:p w:rsidR="0006751C" w:rsidRPr="0006751C" w:rsidRDefault="0006751C" w:rsidP="0006751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>Нижняя полка сечения необходима для размещения напрягаемой арматуры и обеспечения прочности балки в стадиях изготовления, транспортирования и монтажа.</w:t>
      </w:r>
    </w:p>
    <w:p w:rsidR="0006751C" w:rsidRPr="0006751C" w:rsidRDefault="0006751C" w:rsidP="0006751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 xml:space="preserve">Крепление балок к колоннам осуществляется с помощью болтовых соединений с последующей </w:t>
      </w:r>
      <w:proofErr w:type="spellStart"/>
      <w:r w:rsidRPr="0006751C">
        <w:rPr>
          <w:rFonts w:ascii="Times New Roman" w:hAnsi="Times New Roman" w:cs="Times New Roman"/>
          <w:sz w:val="24"/>
          <w:szCs w:val="24"/>
        </w:rPr>
        <w:t>обваркой</w:t>
      </w:r>
      <w:proofErr w:type="spellEnd"/>
      <w:r w:rsidRPr="0006751C">
        <w:rPr>
          <w:rFonts w:ascii="Times New Roman" w:hAnsi="Times New Roman" w:cs="Times New Roman"/>
          <w:sz w:val="24"/>
          <w:szCs w:val="24"/>
        </w:rPr>
        <w:t xml:space="preserve"> шайб и гаек.</w:t>
      </w:r>
    </w:p>
    <w:p w:rsidR="0006751C" w:rsidRPr="0006751C" w:rsidRDefault="0006751C" w:rsidP="0006751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>Передача тормозных усилий от крана на колонну осуществляется с помощью ребер жесткости, привариваемых к закладным деталям подкрановой балки и колонны.</w:t>
      </w:r>
    </w:p>
    <w:p w:rsidR="0006751C" w:rsidRPr="0006751C" w:rsidRDefault="0006751C" w:rsidP="0006751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>Крепление рельса к верхнему поясу осуществляется с помощью стальных накладок – «лапок» и болтов.</w:t>
      </w:r>
    </w:p>
    <w:p w:rsidR="0006751C" w:rsidRPr="0006751C" w:rsidRDefault="0006751C" w:rsidP="0006751C">
      <w:pPr>
        <w:ind w:firstLine="720"/>
        <w:jc w:val="right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2171065</wp:posOffset>
            </wp:positionH>
            <wp:positionV relativeFrom="paragraph">
              <wp:posOffset>635</wp:posOffset>
            </wp:positionV>
            <wp:extent cx="3771265" cy="2067560"/>
            <wp:effectExtent l="19050" t="0" r="635" b="0"/>
            <wp:wrapSquare wrapText="bothSides"/>
            <wp:docPr id="45" name="Рисунок 34" descr="p0024-s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p0024-sel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265" cy="206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6751C" w:rsidRPr="0006751C" w:rsidRDefault="0006751C" w:rsidP="0006751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lastRenderedPageBreak/>
        <w:t xml:space="preserve">Для смягчения ударов, передаваемых на подкрановую балку при движении мостовых кранов, между подкрановой балкой и рельсом укладывают упругие прокладки из прорезиненной ткани толщиной </w:t>
      </w:r>
      <w:smartTag w:uri="urn:schemas-microsoft-com:office:smarttags" w:element="metricconverter">
        <w:smartTagPr>
          <w:attr w:name="ProductID" w:val="8 мм"/>
        </w:smartTagPr>
        <w:r w:rsidRPr="0006751C">
          <w:rPr>
            <w:rFonts w:ascii="Times New Roman" w:hAnsi="Times New Roman" w:cs="Times New Roman"/>
            <w:sz w:val="24"/>
            <w:szCs w:val="24"/>
          </w:rPr>
          <w:t>8 мм</w:t>
        </w:r>
      </w:smartTag>
      <w:r w:rsidRPr="0006751C">
        <w:rPr>
          <w:rFonts w:ascii="Times New Roman" w:hAnsi="Times New Roman" w:cs="Times New Roman"/>
          <w:sz w:val="24"/>
          <w:szCs w:val="24"/>
        </w:rPr>
        <w:t>.</w:t>
      </w:r>
      <w:r w:rsidRPr="0006751C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2601595</wp:posOffset>
            </wp:positionH>
            <wp:positionV relativeFrom="paragraph">
              <wp:posOffset>2540</wp:posOffset>
            </wp:positionV>
            <wp:extent cx="3340735" cy="3489960"/>
            <wp:effectExtent l="19050" t="0" r="0" b="0"/>
            <wp:wrapSquare wrapText="bothSides"/>
            <wp:docPr id="44" name="Рисунок 35" descr="p0394-s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p0394-sel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735" cy="3489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6751C" w:rsidRPr="0006751C" w:rsidRDefault="0006751C" w:rsidP="0006751C">
      <w:pPr>
        <w:ind w:firstLine="72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6751C">
        <w:rPr>
          <w:rFonts w:ascii="Times New Roman" w:hAnsi="Times New Roman" w:cs="Times New Roman"/>
          <w:b/>
          <w:sz w:val="24"/>
          <w:szCs w:val="24"/>
          <w:u w:val="single"/>
        </w:rPr>
        <w:t>Геометрические размеры сечения</w:t>
      </w:r>
    </w:p>
    <w:p w:rsidR="0006751C" w:rsidRPr="0006751C" w:rsidRDefault="0006751C" w:rsidP="0006751C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 xml:space="preserve">Высота сечения балки </w:t>
      </w:r>
      <w:r w:rsidRPr="0006751C">
        <w:rPr>
          <w:rFonts w:ascii="Times New Roman" w:hAnsi="Times New Roman" w:cs="Times New Roman"/>
          <w:position w:val="-18"/>
          <w:sz w:val="24"/>
          <w:szCs w:val="24"/>
        </w:rPr>
        <w:object w:dxaOrig="1560" w:dyaOrig="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0" type="#_x0000_t75" style="width:78.2pt;height:24pt" o:ole="">
            <v:imagedata r:id="rId7" o:title=""/>
          </v:shape>
          <o:OLEObject Type="Embed" ProgID="Equation.3" ShapeID="_x0000_i1040" DrawAspect="Content" ObjectID="_1640557900" r:id="rId8"/>
        </w:object>
      </w:r>
    </w:p>
    <w:p w:rsidR="0006751C" w:rsidRPr="0006751C" w:rsidRDefault="0006751C" w:rsidP="0006751C">
      <w:pPr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 xml:space="preserve">Типовые железобетонные подкрановые балки принимают высотой </w:t>
      </w:r>
      <w:smartTag w:uri="urn:schemas-microsoft-com:office:smarttags" w:element="metricconverter">
        <w:smartTagPr>
          <w:attr w:name="ProductID" w:val="1 м"/>
        </w:smartTagPr>
        <w:r w:rsidRPr="0006751C">
          <w:rPr>
            <w:rFonts w:ascii="Times New Roman" w:hAnsi="Times New Roman" w:cs="Times New Roman"/>
            <w:sz w:val="24"/>
            <w:szCs w:val="24"/>
          </w:rPr>
          <w:t>1 м</w:t>
        </w:r>
      </w:smartTag>
      <w:r w:rsidRPr="0006751C">
        <w:rPr>
          <w:rFonts w:ascii="Times New Roman" w:hAnsi="Times New Roman" w:cs="Times New Roman"/>
          <w:sz w:val="24"/>
          <w:szCs w:val="24"/>
        </w:rPr>
        <w:t xml:space="preserve"> при </w:t>
      </w:r>
      <w:r w:rsidRPr="0006751C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06751C">
        <w:rPr>
          <w:rFonts w:ascii="Times New Roman" w:hAnsi="Times New Roman" w:cs="Times New Roman"/>
          <w:sz w:val="24"/>
          <w:szCs w:val="24"/>
        </w:rPr>
        <w:t xml:space="preserve">=6 м, и </w:t>
      </w:r>
      <w:smartTag w:uri="urn:schemas-microsoft-com:office:smarttags" w:element="metricconverter">
        <w:smartTagPr>
          <w:attr w:name="ProductID" w:val="1,4 м"/>
        </w:smartTagPr>
        <w:r w:rsidRPr="0006751C">
          <w:rPr>
            <w:rFonts w:ascii="Times New Roman" w:hAnsi="Times New Roman" w:cs="Times New Roman"/>
            <w:sz w:val="24"/>
            <w:szCs w:val="24"/>
          </w:rPr>
          <w:t>1,4 м</w:t>
        </w:r>
      </w:smartTag>
      <w:r w:rsidRPr="0006751C">
        <w:rPr>
          <w:rFonts w:ascii="Times New Roman" w:hAnsi="Times New Roman" w:cs="Times New Roman"/>
          <w:sz w:val="24"/>
          <w:szCs w:val="24"/>
        </w:rPr>
        <w:t xml:space="preserve"> при </w:t>
      </w:r>
      <w:r w:rsidRPr="0006751C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06751C">
        <w:rPr>
          <w:rFonts w:ascii="Times New Roman" w:hAnsi="Times New Roman" w:cs="Times New Roman"/>
          <w:sz w:val="24"/>
          <w:szCs w:val="24"/>
        </w:rPr>
        <w:t>=12 м;</w:t>
      </w:r>
    </w:p>
    <w:p w:rsidR="0006751C" w:rsidRPr="0006751C" w:rsidRDefault="0006751C" w:rsidP="0006751C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 xml:space="preserve">Толщина верхней полки </w:t>
      </w:r>
      <w:r w:rsidRPr="0006751C">
        <w:rPr>
          <w:rFonts w:ascii="Times New Roman" w:hAnsi="Times New Roman" w:cs="Times New Roman"/>
          <w:position w:val="-18"/>
          <w:sz w:val="24"/>
          <w:szCs w:val="24"/>
        </w:rPr>
        <w:object w:dxaOrig="1640" w:dyaOrig="480">
          <v:shape id="_x0000_i1041" type="#_x0000_t75" style="width:81.8pt;height:24pt" o:ole="">
            <v:imagedata r:id="rId9" o:title=""/>
          </v:shape>
          <o:OLEObject Type="Embed" ProgID="Equation.3" ShapeID="_x0000_i1041" DrawAspect="Content" ObjectID="_1640557901" r:id="rId10"/>
        </w:object>
      </w:r>
    </w:p>
    <w:p w:rsidR="0006751C" w:rsidRPr="0006751C" w:rsidRDefault="0006751C" w:rsidP="0006751C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 xml:space="preserve">Ширина верхней полки </w:t>
      </w:r>
      <w:r w:rsidRPr="0006751C">
        <w:rPr>
          <w:rFonts w:ascii="Times New Roman" w:hAnsi="Times New Roman" w:cs="Times New Roman"/>
          <w:position w:val="-18"/>
          <w:sz w:val="24"/>
          <w:szCs w:val="24"/>
        </w:rPr>
        <w:object w:dxaOrig="1780" w:dyaOrig="480">
          <v:shape id="_x0000_i1042" type="#_x0000_t75" style="width:88.9pt;height:24pt" o:ole="">
            <v:imagedata r:id="rId11" o:title=""/>
          </v:shape>
          <o:OLEObject Type="Embed" ProgID="Equation.3" ShapeID="_x0000_i1042" DrawAspect="Content" ObjectID="_1640557902" r:id="rId12"/>
        </w:object>
      </w:r>
    </w:p>
    <w:p w:rsidR="0006751C" w:rsidRPr="0006751C" w:rsidRDefault="0006751C" w:rsidP="0006751C">
      <w:pPr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 xml:space="preserve">По условиям крепления крановых путей, </w:t>
      </w:r>
      <w:r w:rsidRPr="0006751C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6751C">
        <w:rPr>
          <w:rFonts w:ascii="Times New Roman" w:hAnsi="Times New Roman" w:cs="Times New Roman"/>
          <w:sz w:val="24"/>
          <w:szCs w:val="24"/>
        </w:rPr>
        <w:t>’</w:t>
      </w:r>
      <w:r w:rsidRPr="0006751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f</w:t>
      </w:r>
      <w:r w:rsidRPr="0006751C">
        <w:rPr>
          <w:rFonts w:ascii="Times New Roman" w:hAnsi="Times New Roman" w:cs="Times New Roman"/>
          <w:sz w:val="24"/>
          <w:szCs w:val="24"/>
        </w:rPr>
        <w:t>=600-</w:t>
      </w:r>
      <w:smartTag w:uri="urn:schemas-microsoft-com:office:smarttags" w:element="metricconverter">
        <w:smartTagPr>
          <w:attr w:name="ProductID" w:val="650 мм"/>
        </w:smartTagPr>
        <w:r w:rsidRPr="0006751C">
          <w:rPr>
            <w:rFonts w:ascii="Times New Roman" w:hAnsi="Times New Roman" w:cs="Times New Roman"/>
            <w:sz w:val="24"/>
            <w:szCs w:val="24"/>
          </w:rPr>
          <w:t>650 мм</w:t>
        </w:r>
      </w:smartTag>
      <w:r w:rsidRPr="0006751C">
        <w:rPr>
          <w:rFonts w:ascii="Times New Roman" w:hAnsi="Times New Roman" w:cs="Times New Roman"/>
          <w:sz w:val="24"/>
          <w:szCs w:val="24"/>
        </w:rPr>
        <w:t>.</w:t>
      </w:r>
    </w:p>
    <w:p w:rsidR="0006751C" w:rsidRPr="0006751C" w:rsidRDefault="0006751C" w:rsidP="0006751C">
      <w:pPr>
        <w:ind w:firstLine="72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6751C">
        <w:rPr>
          <w:rFonts w:ascii="Times New Roman" w:hAnsi="Times New Roman" w:cs="Times New Roman"/>
          <w:b/>
          <w:sz w:val="24"/>
          <w:szCs w:val="24"/>
          <w:u w:val="single"/>
        </w:rPr>
        <w:t>Расчет балок</w:t>
      </w:r>
    </w:p>
    <w:p w:rsidR="0006751C" w:rsidRPr="0006751C" w:rsidRDefault="0006751C" w:rsidP="0006751C">
      <w:pPr>
        <w:ind w:firstLine="720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06751C">
        <w:rPr>
          <w:rFonts w:ascii="Times New Roman" w:hAnsi="Times New Roman" w:cs="Times New Roman"/>
          <w:i/>
          <w:sz w:val="24"/>
          <w:szCs w:val="24"/>
          <w:u w:val="single"/>
        </w:rPr>
        <w:t xml:space="preserve">Расчет по </w:t>
      </w:r>
      <w:r w:rsidRPr="0006751C">
        <w:rPr>
          <w:rFonts w:ascii="Times New Roman" w:hAnsi="Times New Roman" w:cs="Times New Roman"/>
          <w:i/>
          <w:sz w:val="24"/>
          <w:szCs w:val="24"/>
          <w:u w:val="single"/>
          <w:lang w:val="en-US"/>
        </w:rPr>
        <w:t>I</w:t>
      </w:r>
      <w:r w:rsidRPr="0006751C">
        <w:rPr>
          <w:rFonts w:ascii="Times New Roman" w:hAnsi="Times New Roman" w:cs="Times New Roman"/>
          <w:i/>
          <w:sz w:val="24"/>
          <w:szCs w:val="24"/>
          <w:u w:val="single"/>
        </w:rPr>
        <w:t xml:space="preserve"> ГПС</w:t>
      </w:r>
    </w:p>
    <w:p w:rsidR="0006751C" w:rsidRPr="0006751C" w:rsidRDefault="0006751C" w:rsidP="0006751C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>Расчет по прочности.</w:t>
      </w:r>
    </w:p>
    <w:p w:rsidR="0006751C" w:rsidRPr="0006751C" w:rsidRDefault="0006751C" w:rsidP="0006751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>Расчет ведут по расчетной вертикальной нагрузке от собственной массы балки и пути, а также нагрузки от двух максимально сближенных кранов с коэффициентом сочетаний 0,85. Расчетное сечение – на вертикальные нагрузки, тавровое или двутавровое.</w:t>
      </w:r>
      <w:r w:rsidRPr="0006751C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2708910</wp:posOffset>
            </wp:positionH>
            <wp:positionV relativeFrom="paragraph">
              <wp:align>top</wp:align>
            </wp:positionV>
            <wp:extent cx="3233420" cy="2450465"/>
            <wp:effectExtent l="19050" t="0" r="5080" b="0"/>
            <wp:wrapSquare wrapText="bothSides"/>
            <wp:docPr id="43" name="Рисунок 36" descr="p03941-s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p03941-sel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3420" cy="2450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6751C" w:rsidRPr="0006751C" w:rsidRDefault="0006751C" w:rsidP="0006751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4000500</wp:posOffset>
            </wp:positionH>
            <wp:positionV relativeFrom="paragraph">
              <wp:posOffset>628015</wp:posOffset>
            </wp:positionV>
            <wp:extent cx="1890395" cy="2514600"/>
            <wp:effectExtent l="19050" t="0" r="0" b="0"/>
            <wp:wrapSquare wrapText="bothSides"/>
            <wp:docPr id="42" name="Рисунок 37" descr="D--Почта-Рисунок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D--Почта-Рисунок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0395" cy="251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6751C">
        <w:rPr>
          <w:rFonts w:ascii="Times New Roman" w:hAnsi="Times New Roman" w:cs="Times New Roman"/>
          <w:sz w:val="24"/>
          <w:szCs w:val="24"/>
        </w:rPr>
        <w:t xml:space="preserve">Подвижную нагрузку от мостовых кранов располагают в пролете подкрановой балки так, чтобы в ряде сечений по длине пролета получить максимальные усилия </w:t>
      </w:r>
      <w:r w:rsidRPr="0006751C">
        <w:rPr>
          <w:rFonts w:ascii="Times New Roman" w:hAnsi="Times New Roman" w:cs="Times New Roman"/>
          <w:sz w:val="24"/>
          <w:szCs w:val="24"/>
          <w:lang w:val="en-US"/>
        </w:rPr>
        <w:t>M</w:t>
      </w:r>
      <w:r w:rsidRPr="0006751C">
        <w:rPr>
          <w:rFonts w:ascii="Times New Roman" w:hAnsi="Times New Roman" w:cs="Times New Roman"/>
          <w:sz w:val="24"/>
          <w:szCs w:val="24"/>
        </w:rPr>
        <w:t xml:space="preserve"> и </w:t>
      </w:r>
      <w:r w:rsidRPr="0006751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06751C">
        <w:rPr>
          <w:rFonts w:ascii="Times New Roman" w:hAnsi="Times New Roman" w:cs="Times New Roman"/>
          <w:sz w:val="24"/>
          <w:szCs w:val="24"/>
        </w:rPr>
        <w:t>.</w:t>
      </w:r>
    </w:p>
    <w:p w:rsidR="0006751C" w:rsidRPr="0006751C" w:rsidRDefault="0006751C" w:rsidP="0006751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 xml:space="preserve">Расчет ведут по линиям влияния, располагая одну силу в вершине линии влияния. Максимальное усилие </w:t>
      </w:r>
      <w:r w:rsidRPr="0006751C">
        <w:rPr>
          <w:rFonts w:ascii="Times New Roman" w:hAnsi="Times New Roman" w:cs="Times New Roman"/>
          <w:sz w:val="24"/>
          <w:szCs w:val="24"/>
        </w:rPr>
        <w:lastRenderedPageBreak/>
        <w:t>определяют суммированием произведений сил на соответствующие им ординаты:</w:t>
      </w:r>
    </w:p>
    <w:p w:rsidR="0006751C" w:rsidRPr="0006751C" w:rsidRDefault="0006751C" w:rsidP="0006751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position w:val="-14"/>
          <w:sz w:val="24"/>
          <w:szCs w:val="24"/>
        </w:rPr>
        <w:object w:dxaOrig="3080" w:dyaOrig="400">
          <v:shape id="_x0000_i1043" type="#_x0000_t75" style="width:153.8pt;height:20.45pt" o:ole="">
            <v:imagedata r:id="rId15" o:title=""/>
          </v:shape>
          <o:OLEObject Type="Embed" ProgID="Equation.3" ShapeID="_x0000_i1043" DrawAspect="Content" ObjectID="_1640557903" r:id="rId16"/>
        </w:object>
      </w:r>
    </w:p>
    <w:p w:rsidR="0006751C" w:rsidRPr="0006751C" w:rsidRDefault="0006751C" w:rsidP="0006751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 xml:space="preserve">По найденным усилиям строят огибающие эпюры </w:t>
      </w:r>
      <w:r w:rsidRPr="0006751C">
        <w:rPr>
          <w:rFonts w:ascii="Times New Roman" w:hAnsi="Times New Roman" w:cs="Times New Roman"/>
          <w:sz w:val="24"/>
          <w:szCs w:val="24"/>
          <w:lang w:val="en-US"/>
        </w:rPr>
        <w:t>M</w:t>
      </w:r>
      <w:r w:rsidRPr="0006751C">
        <w:rPr>
          <w:rFonts w:ascii="Times New Roman" w:hAnsi="Times New Roman" w:cs="Times New Roman"/>
          <w:sz w:val="24"/>
          <w:szCs w:val="24"/>
        </w:rPr>
        <w:t xml:space="preserve"> и </w:t>
      </w:r>
      <w:r w:rsidRPr="0006751C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06751C">
        <w:rPr>
          <w:rFonts w:ascii="Times New Roman" w:hAnsi="Times New Roman" w:cs="Times New Roman"/>
          <w:sz w:val="24"/>
          <w:szCs w:val="24"/>
        </w:rPr>
        <w:t>.</w:t>
      </w:r>
    </w:p>
    <w:p w:rsidR="0006751C" w:rsidRPr="0006751C" w:rsidRDefault="0006751C" w:rsidP="0006751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06751C" w:rsidRPr="0006751C" w:rsidRDefault="0006751C" w:rsidP="0006751C">
      <w:pPr>
        <w:ind w:firstLine="720"/>
        <w:jc w:val="right"/>
        <w:rPr>
          <w:rFonts w:ascii="Times New Roman" w:hAnsi="Times New Roman" w:cs="Times New Roman"/>
          <w:sz w:val="24"/>
          <w:szCs w:val="24"/>
        </w:rPr>
      </w:pPr>
    </w:p>
    <w:p w:rsidR="0006751C" w:rsidRPr="0006751C" w:rsidRDefault="0006751C" w:rsidP="0006751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 xml:space="preserve">В результате расчетов по прочности определяют площадь сечения напрягаемой арматуры </w:t>
      </w:r>
      <w:r w:rsidRPr="0006751C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6751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sp</w:t>
      </w:r>
      <w:r w:rsidRPr="0006751C">
        <w:rPr>
          <w:rFonts w:ascii="Times New Roman" w:hAnsi="Times New Roman" w:cs="Times New Roman"/>
          <w:sz w:val="24"/>
          <w:szCs w:val="24"/>
        </w:rPr>
        <w:t>.</w:t>
      </w:r>
      <w:r w:rsidRPr="0006751C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703296" behindDoc="1" locked="0" layoutInCell="1" allowOverlap="1">
            <wp:simplePos x="0" y="0"/>
            <wp:positionH relativeFrom="column">
              <wp:posOffset>4050665</wp:posOffset>
            </wp:positionH>
            <wp:positionV relativeFrom="paragraph">
              <wp:posOffset>0</wp:posOffset>
            </wp:positionV>
            <wp:extent cx="1890395" cy="2675255"/>
            <wp:effectExtent l="19050" t="0" r="0" b="0"/>
            <wp:wrapTight wrapText="bothSides">
              <wp:wrapPolygon edited="0">
                <wp:start x="-218" y="0"/>
                <wp:lineTo x="-218" y="21380"/>
                <wp:lineTo x="21549" y="21380"/>
                <wp:lineTo x="21549" y="0"/>
                <wp:lineTo x="-218" y="0"/>
              </wp:wrapPolygon>
            </wp:wrapTight>
            <wp:docPr id="41" name="Рисунок 38" descr="D--Мои документы-Рисунок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D--Мои документы-Рисунок1-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0395" cy="2675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6751C" w:rsidRPr="0006751C" w:rsidRDefault="0006751C" w:rsidP="0006751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>При расчете на горизонтальную нагрузку от поперечного торможения тележки крана, в расчет вводят только верхнюю полку, при этом, в целях упрощения, сила считается приложенной не в уровне головки крановых рельсов, а в центре тяжести сечения верхней полки.</w:t>
      </w:r>
    </w:p>
    <w:p w:rsidR="0006751C" w:rsidRPr="0006751C" w:rsidRDefault="0006751C" w:rsidP="0006751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 xml:space="preserve">Из условия прочности верхней полки при действии горизонтальной нагрузки определяют площадь сечения напрягаемой арматуры </w:t>
      </w:r>
      <w:r w:rsidRPr="0006751C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6751C">
        <w:rPr>
          <w:rFonts w:ascii="Times New Roman" w:hAnsi="Times New Roman" w:cs="Times New Roman"/>
          <w:sz w:val="24"/>
          <w:szCs w:val="24"/>
        </w:rPr>
        <w:t>’</w:t>
      </w:r>
      <w:r w:rsidRPr="0006751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sp</w:t>
      </w:r>
      <w:r w:rsidRPr="0006751C">
        <w:rPr>
          <w:rFonts w:ascii="Times New Roman" w:hAnsi="Times New Roman" w:cs="Times New Roman"/>
          <w:sz w:val="24"/>
          <w:szCs w:val="24"/>
        </w:rPr>
        <w:t>.</w:t>
      </w:r>
    </w:p>
    <w:p w:rsidR="0006751C" w:rsidRPr="0006751C" w:rsidRDefault="0006751C" w:rsidP="0006751C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6751C">
        <w:rPr>
          <w:rFonts w:ascii="Times New Roman" w:hAnsi="Times New Roman" w:cs="Times New Roman"/>
          <w:sz w:val="24"/>
          <w:szCs w:val="24"/>
          <w:lang w:val="en-US"/>
        </w:rPr>
        <w:t>Расчет</w:t>
      </w:r>
      <w:proofErr w:type="spellEnd"/>
      <w:r w:rsidRPr="0006751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6751C">
        <w:rPr>
          <w:rFonts w:ascii="Times New Roman" w:hAnsi="Times New Roman" w:cs="Times New Roman"/>
          <w:sz w:val="24"/>
          <w:szCs w:val="24"/>
          <w:lang w:val="en-US"/>
        </w:rPr>
        <w:t>на</w:t>
      </w:r>
      <w:proofErr w:type="spellEnd"/>
      <w:r w:rsidRPr="0006751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6751C">
        <w:rPr>
          <w:rFonts w:ascii="Times New Roman" w:hAnsi="Times New Roman" w:cs="Times New Roman"/>
          <w:sz w:val="24"/>
          <w:szCs w:val="24"/>
          <w:lang w:val="en-US"/>
        </w:rPr>
        <w:t>выносливость</w:t>
      </w:r>
      <w:proofErr w:type="spellEnd"/>
      <w:r w:rsidRPr="0006751C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06751C" w:rsidRPr="0006751C" w:rsidRDefault="0006751C" w:rsidP="0006751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 xml:space="preserve">При многократно повторных </w:t>
      </w:r>
      <w:proofErr w:type="spellStart"/>
      <w:r w:rsidRPr="0006751C">
        <w:rPr>
          <w:rFonts w:ascii="Times New Roman" w:hAnsi="Times New Roman" w:cs="Times New Roman"/>
          <w:sz w:val="24"/>
          <w:szCs w:val="24"/>
        </w:rPr>
        <w:t>нагружениях</w:t>
      </w:r>
      <w:proofErr w:type="spellEnd"/>
      <w:r w:rsidRPr="0006751C">
        <w:rPr>
          <w:rFonts w:ascii="Times New Roman" w:hAnsi="Times New Roman" w:cs="Times New Roman"/>
          <w:sz w:val="24"/>
          <w:szCs w:val="24"/>
        </w:rPr>
        <w:t xml:space="preserve"> крановой нагрузкой, бетон и арматура разрушаются при напряжениях, меньших, чем при статическом </w:t>
      </w:r>
      <w:proofErr w:type="spellStart"/>
      <w:r w:rsidRPr="0006751C">
        <w:rPr>
          <w:rFonts w:ascii="Times New Roman" w:hAnsi="Times New Roman" w:cs="Times New Roman"/>
          <w:sz w:val="24"/>
          <w:szCs w:val="24"/>
        </w:rPr>
        <w:t>нагружении</w:t>
      </w:r>
      <w:proofErr w:type="spellEnd"/>
      <w:r w:rsidRPr="0006751C">
        <w:rPr>
          <w:rFonts w:ascii="Times New Roman" w:hAnsi="Times New Roman" w:cs="Times New Roman"/>
          <w:sz w:val="24"/>
          <w:szCs w:val="24"/>
        </w:rPr>
        <w:t>.</w:t>
      </w:r>
    </w:p>
    <w:p w:rsidR="0006751C" w:rsidRPr="0006751C" w:rsidRDefault="0006751C" w:rsidP="0006751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 xml:space="preserve">Расчетные значения предела выносливости арматуры и бетона определяют умножением </w:t>
      </w:r>
      <w:proofErr w:type="spellStart"/>
      <w:r w:rsidRPr="0006751C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06751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s</w:t>
      </w:r>
      <w:proofErr w:type="spellEnd"/>
      <w:r w:rsidRPr="0006751C">
        <w:rPr>
          <w:rFonts w:ascii="Times New Roman" w:hAnsi="Times New Roman" w:cs="Times New Roman"/>
          <w:sz w:val="24"/>
          <w:szCs w:val="24"/>
        </w:rPr>
        <w:t>*γ</w:t>
      </w:r>
      <w:r w:rsidRPr="0006751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s</w:t>
      </w:r>
      <w:r w:rsidRPr="0006751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6751C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06751C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06751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b</w:t>
      </w:r>
      <w:proofErr w:type="spellEnd"/>
      <w:r w:rsidRPr="0006751C">
        <w:rPr>
          <w:rFonts w:ascii="Times New Roman" w:hAnsi="Times New Roman" w:cs="Times New Roman"/>
          <w:sz w:val="24"/>
          <w:szCs w:val="24"/>
        </w:rPr>
        <w:t>*γ</w:t>
      </w:r>
      <w:r w:rsidRPr="0006751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b</w:t>
      </w:r>
      <w:r w:rsidRPr="0006751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06751C">
        <w:rPr>
          <w:rFonts w:ascii="Times New Roman" w:hAnsi="Times New Roman" w:cs="Times New Roman"/>
          <w:sz w:val="24"/>
          <w:szCs w:val="24"/>
        </w:rPr>
        <w:t>. Коэффициент γ</w:t>
      </w:r>
      <w:r w:rsidRPr="0006751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s</w:t>
      </w:r>
      <w:r w:rsidRPr="0006751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6751C">
        <w:rPr>
          <w:rFonts w:ascii="Times New Roman" w:hAnsi="Times New Roman" w:cs="Times New Roman"/>
          <w:sz w:val="24"/>
          <w:szCs w:val="24"/>
        </w:rPr>
        <w:t xml:space="preserve"> зависит от коэффициента асимметрии цикла </w:t>
      </w:r>
      <w:r w:rsidRPr="0006751C">
        <w:rPr>
          <w:rFonts w:ascii="Times New Roman" w:hAnsi="Times New Roman" w:cs="Times New Roman"/>
          <w:position w:val="-28"/>
          <w:sz w:val="24"/>
          <w:szCs w:val="24"/>
        </w:rPr>
        <w:object w:dxaOrig="1820" w:dyaOrig="700">
          <v:shape id="_x0000_i1044" type="#_x0000_t75" style="width:90.65pt;height:35.55pt" o:ole="">
            <v:imagedata r:id="rId18" o:title=""/>
          </v:shape>
          <o:OLEObject Type="Embed" ProgID="Equation.3" ShapeID="_x0000_i1044" DrawAspect="Content" ObjectID="_1640557904" r:id="rId19"/>
        </w:object>
      </w:r>
      <w:r w:rsidRPr="0006751C">
        <w:rPr>
          <w:rFonts w:ascii="Times New Roman" w:hAnsi="Times New Roman" w:cs="Times New Roman"/>
          <w:sz w:val="24"/>
          <w:szCs w:val="24"/>
        </w:rPr>
        <w:t>, коэффициент γ</w:t>
      </w:r>
      <w:r w:rsidRPr="0006751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b</w:t>
      </w:r>
      <w:r w:rsidRPr="0006751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06751C">
        <w:rPr>
          <w:rFonts w:ascii="Times New Roman" w:hAnsi="Times New Roman" w:cs="Times New Roman"/>
          <w:sz w:val="24"/>
          <w:szCs w:val="24"/>
        </w:rPr>
        <w:t xml:space="preserve"> – от </w:t>
      </w:r>
      <w:r w:rsidRPr="0006751C">
        <w:rPr>
          <w:rFonts w:ascii="Times New Roman" w:hAnsi="Times New Roman" w:cs="Times New Roman"/>
          <w:position w:val="-26"/>
          <w:sz w:val="24"/>
          <w:szCs w:val="24"/>
        </w:rPr>
        <w:object w:dxaOrig="1640" w:dyaOrig="639">
          <v:shape id="_x0000_i1045" type="#_x0000_t75" style="width:81.8pt;height:32pt" o:ole="">
            <v:imagedata r:id="rId20" o:title=""/>
          </v:shape>
          <o:OLEObject Type="Embed" ProgID="Equation.3" ShapeID="_x0000_i1045" DrawAspect="Content" ObjectID="_1640557905" r:id="rId21"/>
        </w:object>
      </w:r>
      <w:r w:rsidRPr="0006751C">
        <w:rPr>
          <w:rFonts w:ascii="Times New Roman" w:hAnsi="Times New Roman" w:cs="Times New Roman"/>
          <w:sz w:val="24"/>
          <w:szCs w:val="24"/>
        </w:rPr>
        <w:t xml:space="preserve">, где </w:t>
      </w:r>
      <w:r w:rsidRPr="0006751C">
        <w:rPr>
          <w:rFonts w:ascii="Times New Roman" w:hAnsi="Times New Roman" w:cs="Times New Roman"/>
          <w:position w:val="-14"/>
          <w:sz w:val="24"/>
          <w:szCs w:val="24"/>
        </w:rPr>
        <w:object w:dxaOrig="560" w:dyaOrig="380">
          <v:shape id="_x0000_i1046" type="#_x0000_t75" style="width:27.55pt;height:18.65pt" o:ole="">
            <v:imagedata r:id="rId22" o:title=""/>
          </v:shape>
          <o:OLEObject Type="Embed" ProgID="Equation.3" ShapeID="_x0000_i1046" DrawAspect="Content" ObjectID="_1640557906" r:id="rId23"/>
        </w:object>
      </w:r>
      <w:r w:rsidRPr="0006751C">
        <w:rPr>
          <w:rFonts w:ascii="Times New Roman" w:hAnsi="Times New Roman" w:cs="Times New Roman"/>
          <w:sz w:val="24"/>
          <w:szCs w:val="24"/>
        </w:rPr>
        <w:t xml:space="preserve">; </w:t>
      </w:r>
      <w:r w:rsidRPr="0006751C">
        <w:rPr>
          <w:rFonts w:ascii="Times New Roman" w:hAnsi="Times New Roman" w:cs="Times New Roman"/>
          <w:position w:val="-14"/>
          <w:sz w:val="24"/>
          <w:szCs w:val="24"/>
        </w:rPr>
        <w:object w:dxaOrig="560" w:dyaOrig="380">
          <v:shape id="_x0000_i1047" type="#_x0000_t75" style="width:27.55pt;height:18.65pt" o:ole="">
            <v:imagedata r:id="rId24" o:title=""/>
          </v:shape>
          <o:OLEObject Type="Embed" ProgID="Equation.3" ShapeID="_x0000_i1047" DrawAspect="Content" ObjectID="_1640557907" r:id="rId25"/>
        </w:object>
      </w:r>
      <w:r w:rsidRPr="0006751C">
        <w:rPr>
          <w:rFonts w:ascii="Times New Roman" w:hAnsi="Times New Roman" w:cs="Times New Roman"/>
          <w:sz w:val="24"/>
          <w:szCs w:val="24"/>
        </w:rPr>
        <w:t xml:space="preserve"> и </w:t>
      </w:r>
      <w:r w:rsidRPr="0006751C">
        <w:rPr>
          <w:rFonts w:ascii="Times New Roman" w:hAnsi="Times New Roman" w:cs="Times New Roman"/>
          <w:position w:val="-14"/>
          <w:sz w:val="24"/>
          <w:szCs w:val="24"/>
        </w:rPr>
        <w:object w:dxaOrig="580" w:dyaOrig="380">
          <v:shape id="_x0000_i1048" type="#_x0000_t75" style="width:29.35pt;height:18.65pt" o:ole="">
            <v:imagedata r:id="rId26" o:title=""/>
          </v:shape>
          <o:OLEObject Type="Embed" ProgID="Equation.3" ShapeID="_x0000_i1048" DrawAspect="Content" ObjectID="_1640557908" r:id="rId27"/>
        </w:object>
      </w:r>
      <w:r w:rsidRPr="0006751C">
        <w:rPr>
          <w:rFonts w:ascii="Times New Roman" w:hAnsi="Times New Roman" w:cs="Times New Roman"/>
          <w:sz w:val="24"/>
          <w:szCs w:val="24"/>
        </w:rPr>
        <w:t xml:space="preserve">; </w:t>
      </w:r>
      <w:r w:rsidRPr="0006751C">
        <w:rPr>
          <w:rFonts w:ascii="Times New Roman" w:hAnsi="Times New Roman" w:cs="Times New Roman"/>
          <w:position w:val="-14"/>
          <w:sz w:val="24"/>
          <w:szCs w:val="24"/>
        </w:rPr>
        <w:object w:dxaOrig="600" w:dyaOrig="380">
          <v:shape id="_x0000_i1049" type="#_x0000_t75" style="width:30.2pt;height:18.65pt" o:ole="">
            <v:imagedata r:id="rId28" o:title=""/>
          </v:shape>
          <o:OLEObject Type="Embed" ProgID="Equation.3" ShapeID="_x0000_i1049" DrawAspect="Content" ObjectID="_1640557909" r:id="rId29"/>
        </w:object>
      </w:r>
      <w:r w:rsidRPr="0006751C">
        <w:rPr>
          <w:rFonts w:ascii="Times New Roman" w:hAnsi="Times New Roman" w:cs="Times New Roman"/>
          <w:sz w:val="24"/>
          <w:szCs w:val="24"/>
        </w:rPr>
        <w:t xml:space="preserve"> - попеременно возникающие наименьшие и наибольшие напряжения в арматуре и бетоне в пределах цикла изменения нагрузки.</w:t>
      </w:r>
    </w:p>
    <w:p w:rsidR="0006751C" w:rsidRPr="0006751C" w:rsidRDefault="0006751C" w:rsidP="0006751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>Расчет на выносливость производится на действие пониженной (60%) нормативной нагрузки от одного крана, собственного веса балки и подкранового пути и усилия предварительного обжатия.</w:t>
      </w:r>
    </w:p>
    <w:p w:rsidR="0006751C" w:rsidRPr="0006751C" w:rsidRDefault="0006751C" w:rsidP="0006751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 xml:space="preserve">Выносливость балки считают обеспеченной, если </w:t>
      </w:r>
      <w:r w:rsidRPr="0006751C">
        <w:rPr>
          <w:rFonts w:ascii="Times New Roman" w:hAnsi="Times New Roman" w:cs="Times New Roman"/>
          <w:sz w:val="24"/>
          <w:szCs w:val="24"/>
          <w:u w:val="single"/>
        </w:rPr>
        <w:t>краевые</w:t>
      </w:r>
      <w:r w:rsidRPr="0006751C">
        <w:rPr>
          <w:rFonts w:ascii="Times New Roman" w:hAnsi="Times New Roman" w:cs="Times New Roman"/>
          <w:sz w:val="24"/>
          <w:szCs w:val="24"/>
        </w:rPr>
        <w:t xml:space="preserve"> напряжения в бетоне и арматуре, определяемые как для </w:t>
      </w:r>
      <w:r w:rsidRPr="0006751C">
        <w:rPr>
          <w:rFonts w:ascii="Times New Roman" w:hAnsi="Times New Roman" w:cs="Times New Roman"/>
          <w:sz w:val="24"/>
          <w:szCs w:val="24"/>
          <w:u w:val="single"/>
        </w:rPr>
        <w:t>упругого</w:t>
      </w:r>
      <w:r w:rsidRPr="0006751C">
        <w:rPr>
          <w:rFonts w:ascii="Times New Roman" w:hAnsi="Times New Roman" w:cs="Times New Roman"/>
          <w:sz w:val="24"/>
          <w:szCs w:val="24"/>
        </w:rPr>
        <w:t xml:space="preserve"> материала по приведенному сечению, не превышают расчетных значений пределов выносливости </w:t>
      </w:r>
      <w:r w:rsidRPr="0006751C">
        <w:rPr>
          <w:rFonts w:ascii="Times New Roman" w:hAnsi="Times New Roman" w:cs="Times New Roman"/>
          <w:position w:val="-14"/>
          <w:sz w:val="24"/>
          <w:szCs w:val="24"/>
        </w:rPr>
        <w:object w:dxaOrig="1520" w:dyaOrig="380">
          <v:shape id="_x0000_i1050" type="#_x0000_t75" style="width:75.55pt;height:18.65pt" o:ole="">
            <v:imagedata r:id="rId30" o:title=""/>
          </v:shape>
          <o:OLEObject Type="Embed" ProgID="Equation.3" ShapeID="_x0000_i1050" DrawAspect="Content" ObjectID="_1640557910" r:id="rId31"/>
        </w:object>
      </w:r>
      <w:r w:rsidRPr="0006751C">
        <w:rPr>
          <w:rFonts w:ascii="Times New Roman" w:hAnsi="Times New Roman" w:cs="Times New Roman"/>
          <w:sz w:val="24"/>
          <w:szCs w:val="24"/>
        </w:rPr>
        <w:t xml:space="preserve">; </w:t>
      </w:r>
      <w:r w:rsidRPr="0006751C">
        <w:rPr>
          <w:rFonts w:ascii="Times New Roman" w:hAnsi="Times New Roman" w:cs="Times New Roman"/>
          <w:position w:val="-14"/>
          <w:sz w:val="24"/>
          <w:szCs w:val="24"/>
        </w:rPr>
        <w:object w:dxaOrig="1520" w:dyaOrig="380">
          <v:shape id="_x0000_i1051" type="#_x0000_t75" style="width:75.55pt;height:18.65pt" o:ole="">
            <v:imagedata r:id="rId32" o:title=""/>
          </v:shape>
          <o:OLEObject Type="Embed" ProgID="Equation.3" ShapeID="_x0000_i1051" DrawAspect="Content" ObjectID="_1640557911" r:id="rId33"/>
        </w:object>
      </w:r>
      <w:r w:rsidRPr="0006751C">
        <w:rPr>
          <w:rFonts w:ascii="Times New Roman" w:hAnsi="Times New Roman" w:cs="Times New Roman"/>
          <w:sz w:val="24"/>
          <w:szCs w:val="24"/>
        </w:rPr>
        <w:t>, где:</w:t>
      </w:r>
    </w:p>
    <w:p w:rsidR="0006751C" w:rsidRPr="0006751C" w:rsidRDefault="0006751C" w:rsidP="0006751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position w:val="-32"/>
          <w:sz w:val="24"/>
          <w:szCs w:val="24"/>
          <w:vertAlign w:val="subscript"/>
        </w:rPr>
        <w:object w:dxaOrig="2840" w:dyaOrig="760">
          <v:shape id="_x0000_i1052" type="#_x0000_t75" style="width:141.35pt;height:38.2pt" o:ole="">
            <v:imagedata r:id="rId34" o:title=""/>
          </v:shape>
          <o:OLEObject Type="Embed" ProgID="Equation.3" ShapeID="_x0000_i1052" DrawAspect="Content" ObjectID="_1640557912" r:id="rId35"/>
        </w:object>
      </w:r>
      <w:r w:rsidRPr="0006751C">
        <w:rPr>
          <w:rFonts w:ascii="Times New Roman" w:hAnsi="Times New Roman" w:cs="Times New Roman"/>
          <w:sz w:val="24"/>
          <w:szCs w:val="24"/>
        </w:rPr>
        <w:t>;</w:t>
      </w:r>
    </w:p>
    <w:p w:rsidR="0006751C" w:rsidRPr="0006751C" w:rsidRDefault="0006751C" w:rsidP="0006751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06751C" w:rsidRPr="0006751C" w:rsidRDefault="0006751C" w:rsidP="0006751C">
      <w:pPr>
        <w:ind w:firstLine="720"/>
        <w:jc w:val="both"/>
        <w:rPr>
          <w:rFonts w:ascii="Times New Roman" w:hAnsi="Times New Roman" w:cs="Times New Roman"/>
          <w:sz w:val="24"/>
          <w:szCs w:val="24"/>
          <w:vertAlign w:val="subscript"/>
        </w:rPr>
      </w:pPr>
      <w:r w:rsidRPr="0006751C">
        <w:rPr>
          <w:rFonts w:ascii="Times New Roman" w:hAnsi="Times New Roman" w:cs="Times New Roman"/>
          <w:position w:val="-34"/>
          <w:sz w:val="24"/>
          <w:szCs w:val="24"/>
          <w:vertAlign w:val="subscript"/>
        </w:rPr>
        <w:object w:dxaOrig="2280" w:dyaOrig="820">
          <v:shape id="_x0000_i1053" type="#_x0000_t75" style="width:113.8pt;height:40.9pt" o:ole="">
            <v:imagedata r:id="rId36" o:title=""/>
          </v:shape>
          <o:OLEObject Type="Embed" ProgID="Equation.3" ShapeID="_x0000_i1053" DrawAspect="Content" ObjectID="_1640557913" r:id="rId37"/>
        </w:object>
      </w:r>
      <w:r w:rsidRPr="0006751C">
        <w:rPr>
          <w:rFonts w:ascii="Times New Roman" w:hAnsi="Times New Roman" w:cs="Times New Roman"/>
          <w:sz w:val="24"/>
          <w:szCs w:val="24"/>
        </w:rPr>
        <w:t>;</w:t>
      </w:r>
    </w:p>
    <w:p w:rsidR="0006751C" w:rsidRPr="0006751C" w:rsidRDefault="0006751C" w:rsidP="0006751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position w:val="-14"/>
          <w:sz w:val="24"/>
          <w:szCs w:val="24"/>
        </w:rPr>
        <w:object w:dxaOrig="1860" w:dyaOrig="420">
          <v:shape id="_x0000_i1054" type="#_x0000_t75" style="width:93.35pt;height:21.35pt" o:ole="">
            <v:imagedata r:id="rId38" o:title=""/>
          </v:shape>
          <o:OLEObject Type="Embed" ProgID="Equation.3" ShapeID="_x0000_i1054" DrawAspect="Content" ObjectID="_1640557914" r:id="rId39"/>
        </w:object>
      </w:r>
      <w:r w:rsidRPr="0006751C">
        <w:rPr>
          <w:rFonts w:ascii="Times New Roman" w:hAnsi="Times New Roman" w:cs="Times New Roman"/>
          <w:sz w:val="24"/>
          <w:szCs w:val="24"/>
        </w:rPr>
        <w:t>;</w:t>
      </w:r>
    </w:p>
    <w:p w:rsidR="0006751C" w:rsidRPr="0006751C" w:rsidRDefault="0006751C" w:rsidP="0006751C">
      <w:pPr>
        <w:ind w:left="1080" w:hanging="360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>α' – коэффициент приведения арматуры к бетону с учетом неупругих деформаций бетона сжатой зоны;</w:t>
      </w:r>
    </w:p>
    <w:p w:rsidR="0006751C" w:rsidRPr="0006751C" w:rsidRDefault="0006751C" w:rsidP="0006751C">
      <w:pPr>
        <w:ind w:left="1080" w:hanging="360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>Р – усилие обжатия с учетом всех потерь;</w:t>
      </w:r>
    </w:p>
    <w:p w:rsidR="0006751C" w:rsidRPr="0006751C" w:rsidRDefault="0006751C" w:rsidP="0006751C">
      <w:pPr>
        <w:ind w:left="1080" w:hanging="360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>у и у</w:t>
      </w:r>
      <w:r w:rsidRPr="0006751C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06751C">
        <w:rPr>
          <w:rFonts w:ascii="Times New Roman" w:hAnsi="Times New Roman" w:cs="Times New Roman"/>
          <w:sz w:val="24"/>
          <w:szCs w:val="24"/>
        </w:rPr>
        <w:t xml:space="preserve"> – расстояния от центра тяжести сечения до растянутой арматуры и краевых волокон сжатого бетона;</w:t>
      </w:r>
    </w:p>
    <w:p w:rsidR="0006751C" w:rsidRPr="0006751C" w:rsidRDefault="0006751C" w:rsidP="0006751C">
      <w:pPr>
        <w:ind w:left="1080" w:hanging="360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>А</w:t>
      </w:r>
      <w:r w:rsidRPr="0006751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red</w:t>
      </w:r>
      <w:r w:rsidRPr="0006751C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06751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6751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red</w:t>
      </w:r>
      <w:proofErr w:type="spellEnd"/>
      <w:r w:rsidRPr="0006751C">
        <w:rPr>
          <w:rFonts w:ascii="Times New Roman" w:hAnsi="Times New Roman" w:cs="Times New Roman"/>
          <w:sz w:val="24"/>
          <w:szCs w:val="24"/>
        </w:rPr>
        <w:t xml:space="preserve"> – площадь и момент инерции приведенного сечения.</w:t>
      </w:r>
    </w:p>
    <w:p w:rsidR="0006751C" w:rsidRPr="0006751C" w:rsidRDefault="0006751C" w:rsidP="0006751C">
      <w:pPr>
        <w:ind w:firstLine="720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06751C">
        <w:rPr>
          <w:rFonts w:ascii="Times New Roman" w:hAnsi="Times New Roman" w:cs="Times New Roman"/>
          <w:i/>
          <w:sz w:val="24"/>
          <w:szCs w:val="24"/>
          <w:u w:val="single"/>
        </w:rPr>
        <w:t xml:space="preserve">Расчет по </w:t>
      </w:r>
      <w:r w:rsidRPr="0006751C">
        <w:rPr>
          <w:rFonts w:ascii="Times New Roman" w:hAnsi="Times New Roman" w:cs="Times New Roman"/>
          <w:i/>
          <w:sz w:val="24"/>
          <w:szCs w:val="24"/>
          <w:u w:val="single"/>
          <w:lang w:val="en-US"/>
        </w:rPr>
        <w:t>II</w:t>
      </w:r>
      <w:r w:rsidRPr="0006751C">
        <w:rPr>
          <w:rFonts w:ascii="Times New Roman" w:hAnsi="Times New Roman" w:cs="Times New Roman"/>
          <w:i/>
          <w:sz w:val="24"/>
          <w:szCs w:val="24"/>
          <w:u w:val="single"/>
        </w:rPr>
        <w:t xml:space="preserve"> ГПС</w:t>
      </w:r>
    </w:p>
    <w:p w:rsidR="0006751C" w:rsidRPr="0006751C" w:rsidRDefault="0006751C" w:rsidP="0006751C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 xml:space="preserve">Расчет </w:t>
      </w:r>
      <w:proofErr w:type="spellStart"/>
      <w:r w:rsidRPr="0006751C">
        <w:rPr>
          <w:rFonts w:ascii="Times New Roman" w:hAnsi="Times New Roman" w:cs="Times New Roman"/>
          <w:sz w:val="24"/>
          <w:szCs w:val="24"/>
        </w:rPr>
        <w:t>трещиностойкости</w:t>
      </w:r>
      <w:proofErr w:type="spellEnd"/>
      <w:r w:rsidRPr="0006751C">
        <w:rPr>
          <w:rFonts w:ascii="Times New Roman" w:hAnsi="Times New Roman" w:cs="Times New Roman"/>
          <w:sz w:val="24"/>
          <w:szCs w:val="24"/>
        </w:rPr>
        <w:t>.</w:t>
      </w:r>
    </w:p>
    <w:p w:rsidR="0006751C" w:rsidRPr="0006751C" w:rsidRDefault="0006751C" w:rsidP="0006751C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>Расчет по деформациям.</w:t>
      </w:r>
    </w:p>
    <w:p w:rsidR="0006751C" w:rsidRPr="0006751C" w:rsidRDefault="0006751C" w:rsidP="0006751C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position w:val="-18"/>
          <w:sz w:val="24"/>
          <w:szCs w:val="24"/>
        </w:rPr>
        <w:object w:dxaOrig="999" w:dyaOrig="480">
          <v:shape id="_x0000_i1055" type="#_x0000_t75" style="width:50.65pt;height:24pt" o:ole="">
            <v:imagedata r:id="rId40" o:title=""/>
          </v:shape>
          <o:OLEObject Type="Embed" ProgID="Equation.3" ShapeID="_x0000_i1055" DrawAspect="Content" ObjectID="_1640557915" r:id="rId41"/>
        </w:object>
      </w:r>
    </w:p>
    <w:p w:rsidR="0006751C" w:rsidRPr="0006751C" w:rsidRDefault="0006751C" w:rsidP="0006751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>Прогиб определяют от действия одного крана при γ</w:t>
      </w:r>
      <w:r w:rsidRPr="0006751C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f</w:t>
      </w:r>
      <w:r w:rsidRPr="0006751C">
        <w:rPr>
          <w:rFonts w:ascii="Times New Roman" w:hAnsi="Times New Roman" w:cs="Times New Roman"/>
          <w:sz w:val="24"/>
          <w:szCs w:val="24"/>
        </w:rPr>
        <w:t>=1.</w:t>
      </w:r>
    </w:p>
    <w:p w:rsidR="0006751C" w:rsidRPr="0006751C" w:rsidRDefault="0006751C" w:rsidP="0006751C">
      <w:pPr>
        <w:ind w:firstLine="72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6751C">
        <w:rPr>
          <w:rFonts w:ascii="Times New Roman" w:hAnsi="Times New Roman" w:cs="Times New Roman"/>
          <w:b/>
          <w:sz w:val="24"/>
          <w:szCs w:val="24"/>
          <w:u w:val="single"/>
        </w:rPr>
        <w:t>Конструирование</w:t>
      </w:r>
    </w:p>
    <w:p w:rsidR="0006751C" w:rsidRPr="0006751C" w:rsidRDefault="0006751C" w:rsidP="0006751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>Бетон классов В30 – В50.</w:t>
      </w:r>
    </w:p>
    <w:p w:rsidR="0006751C" w:rsidRPr="0006751C" w:rsidRDefault="0006751C" w:rsidP="0006751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>Напрягаемая арматура – канатная, высокопрочная стержневая и проволочная.</w:t>
      </w:r>
    </w:p>
    <w:p w:rsidR="0006751C" w:rsidRPr="0006751C" w:rsidRDefault="0006751C" w:rsidP="0006751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>Арматурные каркасы в связи с динамической нагрузкой – вязаные.</w:t>
      </w:r>
    </w:p>
    <w:p w:rsidR="0006751C" w:rsidRPr="0006751C" w:rsidRDefault="0006751C" w:rsidP="0006751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 xml:space="preserve">На опорах балки усиливают ребрами с дополнительной поперечной арматурой в виде стержней, хомутов, сеток, обеспечивающих прочность и </w:t>
      </w:r>
      <w:proofErr w:type="spellStart"/>
      <w:r w:rsidRPr="0006751C">
        <w:rPr>
          <w:rFonts w:ascii="Times New Roman" w:hAnsi="Times New Roman" w:cs="Times New Roman"/>
          <w:sz w:val="24"/>
          <w:szCs w:val="24"/>
        </w:rPr>
        <w:t>трещиностойкость</w:t>
      </w:r>
      <w:proofErr w:type="spellEnd"/>
      <w:r w:rsidRPr="0006751C">
        <w:rPr>
          <w:rFonts w:ascii="Times New Roman" w:hAnsi="Times New Roman" w:cs="Times New Roman"/>
          <w:sz w:val="24"/>
          <w:szCs w:val="24"/>
        </w:rPr>
        <w:t xml:space="preserve"> торцов при отпуске напряжения.</w:t>
      </w:r>
    </w:p>
    <w:p w:rsidR="00CD7105" w:rsidRPr="00CD7105" w:rsidRDefault="00CD7105" w:rsidP="00CD7105">
      <w:pPr>
        <w:pStyle w:val="a5"/>
        <w:ind w:left="1494"/>
        <w:jc w:val="both"/>
        <w:rPr>
          <w:rFonts w:ascii="Times New Roman" w:hAnsi="Times New Roman"/>
          <w:sz w:val="24"/>
          <w:szCs w:val="24"/>
        </w:rPr>
      </w:pPr>
    </w:p>
    <w:p w:rsidR="0006751C" w:rsidRPr="00CD7105" w:rsidRDefault="0006751C" w:rsidP="0006751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06751C" w:rsidRPr="00CD7105" w:rsidRDefault="0006751C" w:rsidP="0006751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06751C" w:rsidRPr="00CD7105" w:rsidRDefault="0006751C" w:rsidP="0006751C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06751C" w:rsidRPr="00CD7105" w:rsidRDefault="0006751C" w:rsidP="0006751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06751C" w:rsidRPr="00CD7105" w:rsidRDefault="0006751C" w:rsidP="0006751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6751C" w:rsidRPr="00CD7105" w:rsidRDefault="0006751C" w:rsidP="0006751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6751C" w:rsidRPr="00CD7105" w:rsidRDefault="0006751C" w:rsidP="0006751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6751C" w:rsidRPr="00CD7105" w:rsidRDefault="0006751C" w:rsidP="0006751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6751C" w:rsidRPr="00CD7105" w:rsidRDefault="0006751C" w:rsidP="0006751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6751C" w:rsidRPr="00CD7105" w:rsidRDefault="0006751C" w:rsidP="0006751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6751C" w:rsidRPr="00CD7105" w:rsidRDefault="0006751C" w:rsidP="0006751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6751C" w:rsidRPr="00CD7105" w:rsidRDefault="0006751C" w:rsidP="0006751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41DA1" w:rsidRPr="00CD7105" w:rsidRDefault="00A41DA1" w:rsidP="00A41DA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7A52F9" w:rsidRPr="00CD7105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CD7105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61E2A" w:rsidRPr="00CD7105" w:rsidRDefault="00C61E2A">
      <w:pPr>
        <w:rPr>
          <w:rFonts w:ascii="Times New Roman" w:hAnsi="Times New Roman" w:cs="Times New Roman"/>
          <w:sz w:val="24"/>
          <w:szCs w:val="24"/>
        </w:rPr>
      </w:pPr>
    </w:p>
    <w:sectPr w:rsidR="00C61E2A" w:rsidRPr="00CD7105" w:rsidSect="00C61E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2449B0"/>
    <w:multiLevelType w:val="hybridMultilevel"/>
    <w:tmpl w:val="4C0854D2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B043C2A"/>
    <w:multiLevelType w:val="hybridMultilevel"/>
    <w:tmpl w:val="E250AD7A"/>
    <w:lvl w:ilvl="0" w:tplc="304C29C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139F613F"/>
    <w:multiLevelType w:val="hybridMultilevel"/>
    <w:tmpl w:val="D8E44C5E"/>
    <w:lvl w:ilvl="0" w:tplc="11263D8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26F77A4F"/>
    <w:multiLevelType w:val="hybridMultilevel"/>
    <w:tmpl w:val="6DAE09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586283"/>
    <w:multiLevelType w:val="hybridMultilevel"/>
    <w:tmpl w:val="181899B2"/>
    <w:lvl w:ilvl="0" w:tplc="A14AFB3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41BB5657"/>
    <w:multiLevelType w:val="hybridMultilevel"/>
    <w:tmpl w:val="2A428354"/>
    <w:lvl w:ilvl="0" w:tplc="815C415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44577510"/>
    <w:multiLevelType w:val="multilevel"/>
    <w:tmpl w:val="754EC5C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519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69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949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0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2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749" w:hanging="2160"/>
      </w:pPr>
      <w:rPr>
        <w:rFonts w:hint="default"/>
      </w:rPr>
    </w:lvl>
  </w:abstractNum>
  <w:abstractNum w:abstractNumId="7" w15:restartNumberingAfterBreak="0">
    <w:nsid w:val="49DE0C8F"/>
    <w:multiLevelType w:val="hybridMultilevel"/>
    <w:tmpl w:val="CBFC1202"/>
    <w:lvl w:ilvl="0" w:tplc="C06C68D2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8" w15:restartNumberingAfterBreak="0">
    <w:nsid w:val="4BCD36E1"/>
    <w:multiLevelType w:val="hybridMultilevel"/>
    <w:tmpl w:val="93025E22"/>
    <w:lvl w:ilvl="0" w:tplc="1BC233E0">
      <w:start w:val="1"/>
      <w:numFmt w:val="upperRoman"/>
      <w:lvlText w:val="%1."/>
      <w:lvlJc w:val="left"/>
      <w:pPr>
        <w:ind w:left="178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51573BD8"/>
    <w:multiLevelType w:val="hybridMultilevel"/>
    <w:tmpl w:val="1A103B9C"/>
    <w:lvl w:ilvl="0" w:tplc="021C3F20">
      <w:start w:val="1"/>
      <w:numFmt w:val="bullet"/>
      <w:lvlText w:val=""/>
      <w:lvlJc w:val="left"/>
      <w:pPr>
        <w:tabs>
          <w:tab w:val="num" w:pos="1193"/>
        </w:tabs>
        <w:ind w:left="1364" w:hanging="22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21007C0"/>
    <w:multiLevelType w:val="hybridMultilevel"/>
    <w:tmpl w:val="20687FE8"/>
    <w:lvl w:ilvl="0" w:tplc="455A1706">
      <w:start w:val="1"/>
      <w:numFmt w:val="bullet"/>
      <w:lvlText w:val=""/>
      <w:lvlJc w:val="right"/>
      <w:pPr>
        <w:ind w:left="1429" w:hanging="360"/>
      </w:pPr>
      <w:rPr>
        <w:rFonts w:ascii="Symbol" w:hAnsi="Symbol" w:hint="default"/>
        <w:spacing w:val="0"/>
        <w:kern w:val="2"/>
        <w:position w:val="0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589B7B16"/>
    <w:multiLevelType w:val="hybridMultilevel"/>
    <w:tmpl w:val="192ABA12"/>
    <w:lvl w:ilvl="0" w:tplc="7DDA9008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2" w15:restartNumberingAfterBreak="0">
    <w:nsid w:val="5DB818AE"/>
    <w:multiLevelType w:val="hybridMultilevel"/>
    <w:tmpl w:val="CD7A3F30"/>
    <w:lvl w:ilvl="0" w:tplc="783AB5B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67E46731"/>
    <w:multiLevelType w:val="hybridMultilevel"/>
    <w:tmpl w:val="194266A0"/>
    <w:lvl w:ilvl="0" w:tplc="D42E801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4" w15:restartNumberingAfterBreak="0">
    <w:nsid w:val="727F464F"/>
    <w:multiLevelType w:val="hybridMultilevel"/>
    <w:tmpl w:val="298C4B4E"/>
    <w:lvl w:ilvl="0" w:tplc="1E667E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797B2C5E"/>
    <w:multiLevelType w:val="hybridMultilevel"/>
    <w:tmpl w:val="BA084D68"/>
    <w:lvl w:ilvl="0" w:tplc="66B0E62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4"/>
  </w:num>
  <w:num w:numId="2">
    <w:abstractNumId w:val="3"/>
  </w:num>
  <w:num w:numId="3">
    <w:abstractNumId w:val="15"/>
  </w:num>
  <w:num w:numId="4">
    <w:abstractNumId w:val="4"/>
  </w:num>
  <w:num w:numId="5">
    <w:abstractNumId w:val="0"/>
  </w:num>
  <w:num w:numId="6">
    <w:abstractNumId w:val="10"/>
  </w:num>
  <w:num w:numId="7">
    <w:abstractNumId w:val="1"/>
  </w:num>
  <w:num w:numId="8">
    <w:abstractNumId w:val="9"/>
  </w:num>
  <w:num w:numId="9">
    <w:abstractNumId w:val="2"/>
  </w:num>
  <w:num w:numId="10">
    <w:abstractNumId w:val="5"/>
  </w:num>
  <w:num w:numId="11">
    <w:abstractNumId w:val="12"/>
  </w:num>
  <w:num w:numId="12">
    <w:abstractNumId w:val="6"/>
  </w:num>
  <w:num w:numId="13">
    <w:abstractNumId w:val="8"/>
  </w:num>
  <w:num w:numId="14">
    <w:abstractNumId w:val="13"/>
  </w:num>
  <w:num w:numId="15">
    <w:abstractNumId w:val="7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41613"/>
    <w:rsid w:val="0006751C"/>
    <w:rsid w:val="00197754"/>
    <w:rsid w:val="00724766"/>
    <w:rsid w:val="007A52F9"/>
    <w:rsid w:val="00A00418"/>
    <w:rsid w:val="00A41DA1"/>
    <w:rsid w:val="00C61E2A"/>
    <w:rsid w:val="00CD7105"/>
    <w:rsid w:val="00F41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1F12380"/>
  <w15:docId w15:val="{29C17B16-90CC-4EB7-B821-FE664E985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52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52F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61E2A"/>
    <w:pPr>
      <w:ind w:left="720"/>
      <w:contextualSpacing/>
    </w:pPr>
    <w:rPr>
      <w:rFonts w:ascii="Calibri" w:eastAsia="Calibri" w:hAnsi="Calibri" w:cs="Times New Roman"/>
      <w:lang w:eastAsia="en-US"/>
    </w:rPr>
  </w:style>
  <w:style w:type="table" w:styleId="a6">
    <w:name w:val="Table Grid"/>
    <w:basedOn w:val="a1"/>
    <w:uiPriority w:val="59"/>
    <w:rsid w:val="00197754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png"/><Relationship Id="rId18" Type="http://schemas.openxmlformats.org/officeDocument/2006/relationships/image" Target="media/image10.wmf"/><Relationship Id="rId26" Type="http://schemas.openxmlformats.org/officeDocument/2006/relationships/image" Target="media/image14.wmf"/><Relationship Id="rId39" Type="http://schemas.openxmlformats.org/officeDocument/2006/relationships/oleObject" Target="embeddings/oleObject15.bin"/><Relationship Id="rId3" Type="http://schemas.openxmlformats.org/officeDocument/2006/relationships/settings" Target="settings.xml"/><Relationship Id="rId21" Type="http://schemas.openxmlformats.org/officeDocument/2006/relationships/oleObject" Target="embeddings/oleObject6.bin"/><Relationship Id="rId34" Type="http://schemas.openxmlformats.org/officeDocument/2006/relationships/image" Target="media/image18.wmf"/><Relationship Id="rId42" Type="http://schemas.openxmlformats.org/officeDocument/2006/relationships/fontTable" Target="fontTable.xml"/><Relationship Id="rId7" Type="http://schemas.openxmlformats.org/officeDocument/2006/relationships/image" Target="media/image3.wmf"/><Relationship Id="rId12" Type="http://schemas.openxmlformats.org/officeDocument/2006/relationships/oleObject" Target="embeddings/oleObject3.bin"/><Relationship Id="rId17" Type="http://schemas.openxmlformats.org/officeDocument/2006/relationships/image" Target="media/image9.png"/><Relationship Id="rId25" Type="http://schemas.openxmlformats.org/officeDocument/2006/relationships/oleObject" Target="embeddings/oleObject8.bin"/><Relationship Id="rId33" Type="http://schemas.openxmlformats.org/officeDocument/2006/relationships/oleObject" Target="embeddings/oleObject12.bin"/><Relationship Id="rId38" Type="http://schemas.openxmlformats.org/officeDocument/2006/relationships/image" Target="media/image20.wmf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0" Type="http://schemas.openxmlformats.org/officeDocument/2006/relationships/image" Target="media/image11.wmf"/><Relationship Id="rId29" Type="http://schemas.openxmlformats.org/officeDocument/2006/relationships/oleObject" Target="embeddings/oleObject10.bin"/><Relationship Id="rId41" Type="http://schemas.openxmlformats.org/officeDocument/2006/relationships/oleObject" Target="embeddings/oleObject16.bin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5.wmf"/><Relationship Id="rId24" Type="http://schemas.openxmlformats.org/officeDocument/2006/relationships/image" Target="media/image13.wmf"/><Relationship Id="rId32" Type="http://schemas.openxmlformats.org/officeDocument/2006/relationships/image" Target="media/image17.wmf"/><Relationship Id="rId37" Type="http://schemas.openxmlformats.org/officeDocument/2006/relationships/oleObject" Target="embeddings/oleObject14.bin"/><Relationship Id="rId40" Type="http://schemas.openxmlformats.org/officeDocument/2006/relationships/image" Target="media/image21.wmf"/><Relationship Id="rId5" Type="http://schemas.openxmlformats.org/officeDocument/2006/relationships/image" Target="media/image1.png"/><Relationship Id="rId15" Type="http://schemas.openxmlformats.org/officeDocument/2006/relationships/image" Target="media/image8.wmf"/><Relationship Id="rId23" Type="http://schemas.openxmlformats.org/officeDocument/2006/relationships/oleObject" Target="embeddings/oleObject7.bin"/><Relationship Id="rId28" Type="http://schemas.openxmlformats.org/officeDocument/2006/relationships/image" Target="media/image15.wmf"/><Relationship Id="rId36" Type="http://schemas.openxmlformats.org/officeDocument/2006/relationships/image" Target="media/image19.wmf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5.bin"/><Relationship Id="rId31" Type="http://schemas.openxmlformats.org/officeDocument/2006/relationships/oleObject" Target="embeddings/oleObject11.bin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image" Target="media/image7.png"/><Relationship Id="rId22" Type="http://schemas.openxmlformats.org/officeDocument/2006/relationships/image" Target="media/image12.wmf"/><Relationship Id="rId27" Type="http://schemas.openxmlformats.org/officeDocument/2006/relationships/oleObject" Target="embeddings/oleObject9.bin"/><Relationship Id="rId30" Type="http://schemas.openxmlformats.org/officeDocument/2006/relationships/image" Target="media/image16.wmf"/><Relationship Id="rId35" Type="http://schemas.openxmlformats.org/officeDocument/2006/relationships/oleObject" Target="embeddings/oleObject13.bin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5</Pages>
  <Words>762</Words>
  <Characters>4347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VChernavin</dc:creator>
  <cp:keywords/>
  <dc:description/>
  <cp:lastModifiedBy>User</cp:lastModifiedBy>
  <cp:revision>6</cp:revision>
  <dcterms:created xsi:type="dcterms:W3CDTF">2013-02-23T07:01:00Z</dcterms:created>
  <dcterms:modified xsi:type="dcterms:W3CDTF">2020-01-14T19:44:00Z</dcterms:modified>
</cp:coreProperties>
</file>